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IFRS 1: FIRST-TIME ADOPTION OF INTERNATIONAL FINANCIAL REPORTING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STANDARDS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On 19th June 2003, the International Accounting Standards Board issued IFRS 1 on “First-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Time Adoption of International Financial Reporting Standards”. It applies on entities, which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adopts IFRSs for the first time by an explicit and unreserved statement of compliance with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IFRSs. IFRS 1 has come into effect for a period beginning on or after 1st January 2004. IFRS 1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was revised in July, 09 and will be effective for annual periods beginning on or after 1st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January,2010.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SUMMARY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Objective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IFRS 1 </w:t>
      </w:r>
      <w:r w:rsidRPr="004D3202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 xml:space="preserve">First-time Adoption of International Financial Reporting Standards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sets out the procedures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that an entity must follow when it adopts IFRSs for the first time as the basis for preparing its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general purpose financial statements.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Definition of first-time adoption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A first-time adopter is an entity that, for the first time, makes an explicit and unreserved statement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that its general purpose financial statements comply with IFRSs. An entity may be a first-time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adopter if, in the preceding year, it prepared IFRS financial statements for internal management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use, as long as those IFRS financial statements were not made available to owners or external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parties such as investors or creditors. If a set of IFRS financial statements was, for any reason,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made available to owners or external parties in the preceding year, then the entity will already be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considered to be on IFRSs, and IFRS 1 does not apply An entity can also be a first-time adopter if,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in the preceding year, its financial statements: asserted compliance with some but not all IFRSs.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However, an entity is not a first-time adopter if, in the preceding year, its financial statements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asserted: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Compliance with IFRSs even if the auditor's report contained a qualification with respect to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conformity with IFRSs.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lastRenderedPageBreak/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Compliance with both previous GAAP and IFRSs.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4D3202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2.72 Financial Reporting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Adjustments required to move from previous GAAP to IFRSs at the time of first-time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adoption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spellStart"/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Derecognition</w:t>
      </w:r>
      <w:proofErr w:type="spellEnd"/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of some previous GAAP assets and liabilities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The entity should eliminate previous-GAAP assets and liabilities from the opening balance sheet if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they do not qualify for recognition under IFRSs. [IFRS 1.10(b)] For example: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IAS 38 does not permit recognition of expenditure on any of the following as an intangible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asset: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Wingdings" w:hAnsi="Wingdings" w:cs="Wingdings"/>
          <w:color w:val="000000"/>
          <w:sz w:val="28"/>
          <w:szCs w:val="28"/>
        </w:rPr>
        <w:t>􀂾</w:t>
      </w:r>
      <w:r w:rsidRPr="004D3202">
        <w:rPr>
          <w:rFonts w:ascii="Wingdings" w:hAnsi="Wingdings" w:cs="Wingdings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research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Wingdings" w:hAnsi="Wingdings" w:cs="Wingdings"/>
          <w:color w:val="000000"/>
          <w:sz w:val="28"/>
          <w:szCs w:val="28"/>
        </w:rPr>
        <w:t>􀂾</w:t>
      </w:r>
      <w:r w:rsidRPr="004D3202">
        <w:rPr>
          <w:rFonts w:ascii="Wingdings" w:hAnsi="Wingdings" w:cs="Wingdings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start-up, pre-operating, and pre-opening costs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Wingdings" w:hAnsi="Wingdings" w:cs="Wingdings"/>
          <w:color w:val="000000"/>
          <w:sz w:val="28"/>
          <w:szCs w:val="28"/>
        </w:rPr>
        <w:t>􀂾</w:t>
      </w:r>
      <w:r w:rsidRPr="004D3202">
        <w:rPr>
          <w:rFonts w:ascii="Wingdings" w:hAnsi="Wingdings" w:cs="Wingdings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training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Wingdings" w:hAnsi="Wingdings" w:cs="Wingdings"/>
          <w:color w:val="000000"/>
          <w:sz w:val="28"/>
          <w:szCs w:val="28"/>
        </w:rPr>
        <w:t>􀂾</w:t>
      </w:r>
      <w:r w:rsidRPr="004D3202">
        <w:rPr>
          <w:rFonts w:ascii="Wingdings" w:hAnsi="Wingdings" w:cs="Wingdings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advertising and promotion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Wingdings" w:hAnsi="Wingdings" w:cs="Wingdings"/>
          <w:color w:val="000000"/>
          <w:sz w:val="28"/>
          <w:szCs w:val="28"/>
        </w:rPr>
        <w:t>􀂾</w:t>
      </w:r>
      <w:r w:rsidRPr="004D3202">
        <w:rPr>
          <w:rFonts w:ascii="Wingdings" w:hAnsi="Wingdings" w:cs="Wingdings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moving and relocation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If the entity's previous GAAP had </w:t>
      </w: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 these as assets, they are eliminated in the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opening IFRS balance sheet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If the entity's previous GAAP had allowed accrual of liabilities for "general reserves",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restructurings, future operating losses, or major overhauls that do not meet the conditions for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recognition as a provision under IAS 37, these are eliminated in the opening IFRS balance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sheet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If the entity's previous GAAP had allowed recognition of contingent assets as defined in IAS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37.10, these are eliminated in the opening IFRS balance sheet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Recognition of some assets and liabilities not </w:t>
      </w:r>
      <w:proofErr w:type="spellStart"/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recognised</w:t>
      </w:r>
      <w:proofErr w:type="spellEnd"/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under previous GAAP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Conversely, the entity should </w:t>
      </w: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recognise</w:t>
      </w:r>
      <w:proofErr w:type="spellEnd"/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 all assets and liabilities that are required to be </w:t>
      </w: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by IFRS even if they were never </w:t>
      </w: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 under previous GAAP. [IFRS 1.10(a)] For example: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IAS 39 requires recognition of all derivative financial assets and liabilities, including embedded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derivatives. These were not </w:t>
      </w: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 under many local GAAPs.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IAS 19 requires an employer to </w:t>
      </w: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recognise</w:t>
      </w:r>
      <w:proofErr w:type="spellEnd"/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 a liability when an employee has provided service in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exchange for benefits to be paid in the future. These are not just post-employment benefits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lastRenderedPageBreak/>
        <w:t>(</w:t>
      </w: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eg</w:t>
      </w:r>
      <w:proofErr w:type="spellEnd"/>
      <w:r w:rsidRPr="004D3202">
        <w:rPr>
          <w:rFonts w:ascii="Arial Narrow" w:hAnsi="Arial Narrow" w:cs="Arial Narrow"/>
          <w:color w:val="000000"/>
          <w:sz w:val="28"/>
          <w:szCs w:val="28"/>
        </w:rPr>
        <w:t>, pension plans) but also obligations for medical and life insurance, vacations, termination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benefits, and deferred compensation. In the case of 'over-funded' defined benefit plans, this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would be a plan asset.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IAS 37 requires recognition of provisions as liabilities. Examples could include an entity's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obligations for restructurings, onerous contracts, decommissioning, remediation, site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restoration, warranties, guarantees, and litigation.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Deferred tax assets and liabilities would be </w:t>
      </w: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 in conformity with IAS 12.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4D3202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International Accounting Standards, International Financial Reporting Standards,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their interpretations and US GAAPs-An Overview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2.73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Reclassification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The entity should reclassify previous-GAAP opening balance sheet items into the appropriate IFRS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classification. Examples: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IAS 10 does not permit classifying dividends declared or proposed after the balance sheet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date as a liability at the balance sheet date. If such liability was </w:t>
      </w: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 under previous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GAAP it would be reversed in the opening IFRS balance sheet.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If the entity's previous GAAP had allowed treasury stock (an entity's own shares that it had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purchased) to be reported as an asset, it would be reclassified as a component of equity under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IFRS.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Items classified as identifiable intangible assets in a business combination accounted for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under the previous GAAP may be required to be reclassified as goodwill under IFRS 3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because they do not meet the definition of an intangible asset under IAS 38. The converse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may also be true in some cases.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IAS 32 has principles for classifying items as financial liabilities or equity. Thus mandatorily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redeemable preferred shares that may have been classified as equity under previous GAAP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would be reclassified as liabilities in the opening IFRS balance sheet.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Note that IFRS 1 makes an exception from the "split-accounting" provisions of IAS 32. If the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liability component of a compound financial instrument is no longer outstanding at the date of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the opening IFRS balance sheet, the entity is not required to reclassify out of retained earnings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and into other equity the original equity component of the compound instrument.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lastRenderedPageBreak/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The reclassification principle would apply for the purpose of defining reportable segments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under IFRS 8.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The scope of consolidation might change depending on the consistency of the previous GAAP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requirements to those in IAS 27. In some cases, IFRS will require consolidated financial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statements where they were not required before.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♦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Some offsetting (netting) of assets and liabilities or of income and expense items that had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been acceptable under previous GAAP may no longer be acceptable under IFRS.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Measurement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The general measurement principle – there are several significant exceptions noted below – is to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apply effective IFRSs in measuring all </w:t>
      </w: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 assets and liabilities.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How to </w:t>
      </w:r>
      <w:proofErr w:type="spellStart"/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recognise</w:t>
      </w:r>
      <w:proofErr w:type="spellEnd"/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adjustments required to move from previous GAAP to IFRSs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Adjustments required to move from previous GAAP to IFRSs at the time of first-time adoption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should be </w:t>
      </w: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 directly in retained earnings or, if appropriate, another category of equity at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the date of transition to IFRSs.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4D3202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2.74 Financial Reporting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Estimates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In preparing IFRS estimates at the date of transition to IFRSs retrospectively, the entity must use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the inputs and assumptions that had been used to determine previous GAAP estimates as of that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date (after adjustments to reflect any differences in accounting policies). The entity is not permitted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to use information that became available only after the previous GAAP estimates were made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except to correct an error.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Changes to disclosures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For many entities, new areas of disclosure will be added that were not requirements under the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previous GAAP (perhaps segment information, earnings per share, discontinuing operations,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contingencies and fair values of all financial instruments) and disclosures that had been required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under previous GAAP will be broadened (perhaps related party disclosures).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lastRenderedPageBreak/>
        <w:t>Disclosure of selected financial data for periods before the first IFRS balance sheet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If a first-time adopter wants to disclose selected financial information for periods before the date of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the opening IFRS balance sheet, it is not required to conform that information to IFRS. Conforming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that earlier selected financial information to IFRSs is optional.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If the entity elects to present the earlier selected financial information based on its previous GAAP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rather than IFRS, it must prominently label that earlier information as not complying with IFRS and,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further, it must disclose the nature of the main adjustments that would make that information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comply with IFRS. This latter disclosure is narrative and not necessarily quantified.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Disclosures in the financial statements of a first-time adopter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IFRS 1 requires disclosures that explain how the transition from previous GAAP to IFRS affected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the entity's reported financial position, financial performance and cash flows. This includes: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1. reconciliations of equity reported under previous GAAP to equity under IFRS both (a) at the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date of the opening IFRS balance sheet and (b) the end of the last annual period reported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under the previous GAAP. (For an entity adopting IFRSs for the first time in its 31 December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2009 financial statements, the reconciliations would be as of 1 January 2008 and 31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December 2008.)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2. reconciliations of total comprehensive income for the last annual period reported under the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previous GAAP to total comprehensive income under IFRSs for the same period.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3. explanation of material adjustments that were made, in adopting IFRSs for the first time, to the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balance sheet, income statement and cash flow statement.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4. if errors in previous GAAP financial statements were discovered in the course of transition to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IFRSs, those must be separately disclosed.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5. if the entity </w:t>
      </w: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 or reversed any impairment losses in preparing its opening IFRS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balance sheet, these must be disclosed.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4D3202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International Accounting Standards, International Financial Reporting Standards,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their interpretations and US GAAPs-An Overview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2.75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lastRenderedPageBreak/>
        <w:t>6. appropriate explanations if the entity has elected to apply any of the specific recognition and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measurement exemptions permitted under IFRS 1 – for instance, if it used fair values as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deemed cost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Disclosures in interim financial reports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If an entity is going to adopt IFRSs for the first time in its annual financial statements for the year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ended 31 December 2009, certain disclosure are required in its interim financial statements prior to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the 31 December 2009 statements, but only if those interim financial statements purport to comply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with. Explanatory information and a reconciliation are required in the interim report that immediately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precedes the first set of IFRS annual financial statements. The information includes reconciliations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between IFRS and previous GAAP.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Exceptions to the retrospective application of other IFRSs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The five exceptions are: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1. IAS 39 – </w:t>
      </w:r>
      <w:proofErr w:type="spellStart"/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Derecognition</w:t>
      </w:r>
      <w:proofErr w:type="spellEnd"/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of financial instruments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A first-time adopter shall apply the </w:t>
      </w: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derecognition</w:t>
      </w:r>
      <w:proofErr w:type="spellEnd"/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 requirements in IAS 39 prospectively for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transactions occurring on or after 1 January 2004. However, the entity may apply the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derecognition</w:t>
      </w:r>
      <w:proofErr w:type="spellEnd"/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 requirements retrospectively provided that the needed information was obtained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at the time of initially accounting for those transactions.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 IAS 39 – Hedge accounting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The general rule is that the entity shall not reflect in its opening IFRS balance sheet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(statement of financial position) a hedging relationship of a type that does not qualify for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hedge accounting in accordance with IAS 39. However, if an entity designated a net position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as a hedged item in accordance with previous GAAP, it may designate an individual item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within that net position as a hedged item in accordance with IFRS, provided that it does so no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later than the date of transition to IFRSs.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3. IAS 27 – Non-controlling interest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IFRS 1.B7 lists specific requirements of IAS 27(2008) that shall be applied prospectively.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4. Full-cost oil and gas assets.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Entities using the full cost method may elect exemption from retrospective application of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IFRSs for oil and gas assets. Entities electing this exemption will use the carrying amount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under its old GAAP as the deemed cost of its oil and gas assets at the date of first-time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adoption of IFRSs.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5. Determining whether an arrangement contains a lease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lastRenderedPageBreak/>
        <w:t>If a first-time adopter with a leasing contract made the same type of determination of whether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an arrangement contained a lease in accordance with previous GAAP as that required by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IFRIC 4 Determining whether an Arrangement Contains a Lease, but at a date other than that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required by IFRIC 4, the amendments exempt the entity from having to apply IFRIC 4 when it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adopts IFRSs.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4D3202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D3202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2.76 Financial Reporting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4D3202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Optional exemptions from the basic measurement principle in IFRS 1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There are some further optional exemptions to the general restatement and measurement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principles set out above. The following exceptions are individually optional. They relate to: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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business combinations [IFRS 1.Appendix C]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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and 14 others [IFRS 1.Appendix D]: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Courier" w:hAnsi="Courier" w:cs="Courier"/>
          <w:color w:val="000000"/>
          <w:sz w:val="28"/>
          <w:szCs w:val="28"/>
        </w:rPr>
        <w:t xml:space="preserve">o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share-based payment transactions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Courier" w:hAnsi="Courier" w:cs="Courier"/>
          <w:color w:val="000000"/>
          <w:sz w:val="28"/>
          <w:szCs w:val="28"/>
        </w:rPr>
        <w:t xml:space="preserve">o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insurance contracts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Courier" w:hAnsi="Courier" w:cs="Courier"/>
          <w:color w:val="000000"/>
          <w:sz w:val="28"/>
          <w:szCs w:val="28"/>
        </w:rPr>
        <w:t xml:space="preserve">o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fair value or revaluation as deemed cost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Courier" w:hAnsi="Courier" w:cs="Courier"/>
          <w:color w:val="000000"/>
          <w:sz w:val="28"/>
          <w:szCs w:val="28"/>
        </w:rPr>
        <w:t xml:space="preserve">o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leases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Courier" w:hAnsi="Courier" w:cs="Courier"/>
          <w:color w:val="000000"/>
          <w:sz w:val="28"/>
          <w:szCs w:val="28"/>
        </w:rPr>
        <w:t xml:space="preserve">o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employee benefits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Courier" w:hAnsi="Courier" w:cs="Courier"/>
          <w:color w:val="000000"/>
          <w:sz w:val="28"/>
          <w:szCs w:val="28"/>
        </w:rPr>
        <w:t xml:space="preserve">o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cumulative translation differences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Courier" w:hAnsi="Courier" w:cs="Courier"/>
          <w:color w:val="000000"/>
          <w:sz w:val="28"/>
          <w:szCs w:val="28"/>
        </w:rPr>
        <w:t xml:space="preserve">o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investments in subsidiaries, jointly controlled entities, associates and joint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ventures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Courier" w:hAnsi="Courier" w:cs="Courier"/>
          <w:color w:val="000000"/>
          <w:sz w:val="28"/>
          <w:szCs w:val="28"/>
        </w:rPr>
        <w:t xml:space="preserve">o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assets and liabilities of subsidiaries, associated and joint ventures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Courier" w:hAnsi="Courier" w:cs="Courier"/>
          <w:color w:val="000000"/>
          <w:sz w:val="28"/>
          <w:szCs w:val="28"/>
        </w:rPr>
        <w:t xml:space="preserve">o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compound financial instruments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Courier" w:hAnsi="Courier" w:cs="Courier"/>
          <w:color w:val="000000"/>
          <w:sz w:val="28"/>
          <w:szCs w:val="28"/>
        </w:rPr>
        <w:t xml:space="preserve">o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designation of previously </w:t>
      </w:r>
      <w:proofErr w:type="spellStart"/>
      <w:r w:rsidRPr="004D3202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4D3202">
        <w:rPr>
          <w:rFonts w:ascii="Arial Narrow" w:hAnsi="Arial Narrow" w:cs="Arial Narrow"/>
          <w:color w:val="000000"/>
          <w:sz w:val="28"/>
          <w:szCs w:val="28"/>
        </w:rPr>
        <w:t xml:space="preserve"> financial instruments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Courier" w:hAnsi="Courier" w:cs="Courier"/>
          <w:color w:val="000000"/>
          <w:sz w:val="28"/>
          <w:szCs w:val="28"/>
        </w:rPr>
        <w:t xml:space="preserve">o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fair value measurement of financial assets or financial liabilities at initial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recognition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Courier" w:hAnsi="Courier" w:cs="Courier"/>
          <w:color w:val="000000"/>
          <w:sz w:val="28"/>
          <w:szCs w:val="28"/>
        </w:rPr>
        <w:t xml:space="preserve">o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decommissioning liabilities included in the cost of property, plant and equipment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Courier" w:hAnsi="Courier" w:cs="Courier"/>
          <w:color w:val="000000"/>
          <w:sz w:val="28"/>
          <w:szCs w:val="28"/>
        </w:rPr>
        <w:t xml:space="preserve">o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financial assets or intangible assets accounted for in accordance with IFRIC 12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Service Concession Arrangements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Courier" w:hAnsi="Courier" w:cs="Courier"/>
          <w:color w:val="000000"/>
          <w:sz w:val="28"/>
          <w:szCs w:val="28"/>
        </w:rPr>
        <w:t xml:space="preserve">o 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borrowing costs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On 23 July 2009, the IASB amended IFRS 1 to: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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exempt entities using the full cost method from retrospective application of IFRSs for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oil and gas assets.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Symbol" w:hAnsi="Symbol" w:cs="Symbol"/>
          <w:color w:val="000000"/>
          <w:sz w:val="28"/>
          <w:szCs w:val="28"/>
        </w:rPr>
        <w:t></w:t>
      </w:r>
      <w:r w:rsidRPr="004D3202">
        <w:rPr>
          <w:rFonts w:ascii="Symbol" w:hAnsi="Symbol" w:cs="Symbol"/>
          <w:color w:val="000000"/>
          <w:sz w:val="28"/>
          <w:szCs w:val="28"/>
        </w:rPr>
        <w:t></w:t>
      </w:r>
      <w:r w:rsidRPr="004D3202">
        <w:rPr>
          <w:rFonts w:ascii="Arial Narrow" w:hAnsi="Arial Narrow" w:cs="Arial Narrow"/>
          <w:color w:val="000000"/>
          <w:sz w:val="28"/>
          <w:szCs w:val="28"/>
        </w:rPr>
        <w:t>exempt entities with existing leasing contracts from reassessing the classification of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those contracts in accordance with IFRIC 4 Determining whether an Arrangement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contains a Lease when the application of their national accounting requirements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produced the same result.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On 26 November 2009, the IASB issued an exposure draft (ED) proposing to amend IFRS 1 to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state that an entity need not provide the comparative prior-period information required by the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March 2009 amendments to IFRS 7 Improving Disclosures about Financial Instruments for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first-time adopters adopting before 1 January 2010.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4D3202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January 2010: IASB amends IFRS 1 to provide IFRS 7 disclosure exemption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On 28 January 2010, the IASB amended IFRS 1 to exempt first-time adopters of IFRSs from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D3202">
        <w:rPr>
          <w:rFonts w:ascii="Arial Narrow" w:hAnsi="Arial Narrow" w:cs="Arial Narrow"/>
          <w:color w:val="000000"/>
          <w:sz w:val="28"/>
          <w:szCs w:val="28"/>
        </w:rPr>
        <w:t>providing the additional disclosures introduced in March 2009</w:t>
      </w:r>
    </w:p>
    <w:p w:rsidR="004D3202" w:rsidRPr="004D3202" w:rsidRDefault="004D3202" w:rsidP="004D3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4D3202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000000" w:rsidRPr="004D3202" w:rsidRDefault="004D3202">
      <w:pPr>
        <w:rPr>
          <w:sz w:val="28"/>
          <w:szCs w:val="28"/>
        </w:rPr>
      </w:pPr>
    </w:p>
    <w:sectPr w:rsidR="00000000" w:rsidRPr="004D3202" w:rsidSect="00F220A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4D3202"/>
    <w:rsid w:val="004D3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2218</Words>
  <Characters>12645</Characters>
  <Application>Microsoft Office Word</Application>
  <DocSecurity>0</DocSecurity>
  <Lines>105</Lines>
  <Paragraphs>29</Paragraphs>
  <ScaleCrop>false</ScaleCrop>
  <Company/>
  <LinksUpToDate>false</LinksUpToDate>
  <CharactersWithSpaces>14834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Ghelani</dc:creator>
  <cp:keywords/>
  <dc:description/>
  <cp:lastModifiedBy>Chintan Ghelani</cp:lastModifiedBy>
  <cp:revision>2</cp:revision>
  <dcterms:created xsi:type="dcterms:W3CDTF">2011-02-02T14:59:00Z</dcterms:created>
  <dcterms:modified xsi:type="dcterms:W3CDTF">2011-02-02T15:00:00Z</dcterms:modified>
</cp:coreProperties>
</file>